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40" w:rsidRPr="00DF502E" w:rsidRDefault="003D1440" w:rsidP="003D1440">
      <w:pPr>
        <w:rPr>
          <w:sz w:val="24"/>
          <w:szCs w:val="24"/>
        </w:rPr>
      </w:pPr>
      <w:r w:rsidRPr="00DF502E">
        <w:rPr>
          <w:b/>
          <w:sz w:val="24"/>
          <w:u w:val="thick"/>
        </w:rPr>
        <w:t>VISTO</w:t>
      </w:r>
      <w:r w:rsidR="001C7884" w:rsidRPr="00DF502E">
        <w:rPr>
          <w:b/>
          <w:sz w:val="24"/>
          <w:u w:val="thick"/>
        </w:rPr>
        <w:t>:</w:t>
      </w:r>
      <w:r w:rsidR="001C7884">
        <w:rPr>
          <w:b/>
          <w:sz w:val="24"/>
          <w:u w:val="thick"/>
        </w:rPr>
        <w:t xml:space="preserve"> </w:t>
      </w:r>
      <w:r w:rsidR="001C7884">
        <w:rPr>
          <w:sz w:val="24"/>
        </w:rPr>
        <w:t>La</w:t>
      </w:r>
      <w:r>
        <w:rPr>
          <w:sz w:val="24"/>
        </w:rPr>
        <w:t xml:space="preserve"> Ordenanza de Presupuesto 2016 que prevé la autorización del HCD para el incremento de determinadas Partidas de Egresos del Presupuesto vigente.</w:t>
      </w:r>
    </w:p>
    <w:p w:rsidR="003D1440" w:rsidRDefault="003D1440" w:rsidP="003D1440">
      <w:pPr>
        <w:jc w:val="both"/>
        <w:rPr>
          <w:sz w:val="24"/>
        </w:rPr>
      </w:pPr>
    </w:p>
    <w:p w:rsidR="003D1440" w:rsidRDefault="003D1440" w:rsidP="003D1440">
      <w:pPr>
        <w:rPr>
          <w:sz w:val="24"/>
        </w:rPr>
      </w:pPr>
      <w:r>
        <w:rPr>
          <w:b/>
          <w:sz w:val="24"/>
          <w:u w:val="single"/>
        </w:rPr>
        <w:t>Y CONSIDERANDO:</w:t>
      </w:r>
      <w:r>
        <w:rPr>
          <w:sz w:val="24"/>
        </w:rPr>
        <w:t xml:space="preserve"> Que de la ejecución presupuestaria del corriente ejercicio surge que es necesario incorporar e incrementar el crédito de las Partidas de Egreso que seguidamente se detallan.</w:t>
      </w:r>
    </w:p>
    <w:p w:rsidR="00622771" w:rsidRDefault="00622771" w:rsidP="003D1440">
      <w:pPr>
        <w:rPr>
          <w:sz w:val="24"/>
        </w:rPr>
      </w:pPr>
      <w:r>
        <w:rPr>
          <w:sz w:val="24"/>
        </w:rPr>
        <w:t xml:space="preserve">        </w:t>
      </w:r>
      <w:r w:rsidR="00B16FC0">
        <w:rPr>
          <w:sz w:val="24"/>
        </w:rPr>
        <w:t xml:space="preserve">                              </w:t>
      </w:r>
      <w:r>
        <w:rPr>
          <w:sz w:val="24"/>
        </w:rPr>
        <w:t xml:space="preserve"> Que a tales fines, resulta necesario incrementar las siguientes partidas presupuestarias de ingreso: coparticipación impositiva en $3.000.000, contribución sobre comercio en $1.500.000, contribución sobre inmuebles en $1.100.000.</w:t>
      </w:r>
    </w:p>
    <w:p w:rsidR="00622771" w:rsidRDefault="00622771" w:rsidP="003D1440">
      <w:pPr>
        <w:rPr>
          <w:sz w:val="24"/>
        </w:rPr>
      </w:pPr>
      <w:r>
        <w:rPr>
          <w:sz w:val="24"/>
        </w:rPr>
        <w:t xml:space="preserve">                                        Que es posible asimismo incrementar el presupuesto de gastos para el corriente ejercicio de acuerdo a los ingresos no previstos en el presupuesto original.</w:t>
      </w:r>
    </w:p>
    <w:p w:rsidR="003D1440" w:rsidRDefault="003D1440" w:rsidP="003D1440"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3D1440" w:rsidRDefault="003D1440" w:rsidP="003D1440">
      <w:pPr>
        <w:jc w:val="both"/>
        <w:rPr>
          <w:sz w:val="24"/>
        </w:rPr>
      </w:pPr>
      <w:r>
        <w:rPr>
          <w:sz w:val="24"/>
        </w:rPr>
        <w:t>Por todo ello, el Honorable  Concejo Deliberante de la Municipalidad de San Marcos Sierras sanciona con fuerza de:</w:t>
      </w:r>
    </w:p>
    <w:p w:rsidR="003D1440" w:rsidRDefault="003D1440" w:rsidP="003D1440">
      <w:pPr>
        <w:jc w:val="both"/>
        <w:rPr>
          <w:sz w:val="24"/>
        </w:rPr>
      </w:pPr>
    </w:p>
    <w:p w:rsidR="003D1440" w:rsidRPr="00AD3CD0" w:rsidRDefault="003D1440" w:rsidP="003D1440">
      <w:pPr>
        <w:jc w:val="center"/>
        <w:rPr>
          <w:b/>
          <w:sz w:val="28"/>
          <w:szCs w:val="28"/>
          <w:u w:val="single"/>
        </w:rPr>
      </w:pPr>
      <w:r w:rsidRPr="00AD3CD0">
        <w:rPr>
          <w:b/>
          <w:sz w:val="28"/>
          <w:szCs w:val="28"/>
          <w:u w:val="single"/>
        </w:rPr>
        <w:t>ORDENANZA Nº</w:t>
      </w:r>
      <w:r w:rsidR="00B16FC0">
        <w:rPr>
          <w:b/>
          <w:sz w:val="28"/>
          <w:szCs w:val="28"/>
          <w:u w:val="single"/>
        </w:rPr>
        <w:t>804/16</w:t>
      </w:r>
    </w:p>
    <w:p w:rsidR="003D1440" w:rsidRDefault="003D1440" w:rsidP="003D1440">
      <w:pPr>
        <w:spacing w:after="120"/>
        <w:jc w:val="both"/>
        <w:rPr>
          <w:b/>
          <w:sz w:val="24"/>
          <w:u w:val="single"/>
        </w:rPr>
      </w:pPr>
    </w:p>
    <w:p w:rsidR="00622771" w:rsidRDefault="003D1440" w:rsidP="003D1440">
      <w:pPr>
        <w:spacing w:after="120"/>
        <w:jc w:val="both"/>
        <w:rPr>
          <w:sz w:val="22"/>
          <w:szCs w:val="22"/>
        </w:rPr>
      </w:pPr>
      <w:r>
        <w:rPr>
          <w:b/>
          <w:sz w:val="24"/>
          <w:u w:val="single"/>
        </w:rPr>
        <w:t>ART. 1º</w:t>
      </w:r>
      <w:r w:rsidR="00622771">
        <w:rPr>
          <w:b/>
          <w:sz w:val="24"/>
          <w:u w:val="single"/>
        </w:rPr>
        <w:t xml:space="preserve">: </w:t>
      </w:r>
      <w:r w:rsidR="00622771">
        <w:rPr>
          <w:sz w:val="22"/>
          <w:szCs w:val="22"/>
        </w:rPr>
        <w:t>Rectificar las partidas que a continuación se detallan, de la siguiente forma.</w:t>
      </w:r>
    </w:p>
    <w:tbl>
      <w:tblPr>
        <w:tblStyle w:val="Tablaconcuadrcula"/>
        <w:tblpPr w:leftFromText="141" w:rightFromText="141" w:vertAnchor="text" w:horzAnchor="margin" w:tblpY="163"/>
        <w:tblW w:w="10313" w:type="dxa"/>
        <w:tblLook w:val="0020"/>
      </w:tblPr>
      <w:tblGrid>
        <w:gridCol w:w="2268"/>
        <w:gridCol w:w="3490"/>
        <w:gridCol w:w="1378"/>
        <w:gridCol w:w="1605"/>
        <w:gridCol w:w="1572"/>
      </w:tblGrid>
      <w:tr w:rsidR="001C7884" w:rsidTr="001C7884">
        <w:trPr>
          <w:trHeight w:val="328"/>
        </w:trPr>
        <w:tc>
          <w:tcPr>
            <w:tcW w:w="2268" w:type="dxa"/>
            <w:shd w:val="clear" w:color="auto" w:fill="A6A6A6" w:themeFill="background1" w:themeFillShade="A6"/>
            <w:noWrap/>
          </w:tcPr>
          <w:p w:rsidR="001C7884" w:rsidRPr="00162815" w:rsidRDefault="001C7884" w:rsidP="000771FF">
            <w:pPr>
              <w:jc w:val="center"/>
              <w:rPr>
                <w:b/>
              </w:rPr>
            </w:pPr>
            <w:r w:rsidRPr="00162815">
              <w:rPr>
                <w:b/>
              </w:rPr>
              <w:t>PARTIDAS</w:t>
            </w:r>
          </w:p>
        </w:tc>
        <w:tc>
          <w:tcPr>
            <w:tcW w:w="3490" w:type="dxa"/>
            <w:shd w:val="clear" w:color="auto" w:fill="A6A6A6" w:themeFill="background1" w:themeFillShade="A6"/>
            <w:noWrap/>
          </w:tcPr>
          <w:p w:rsidR="001C7884" w:rsidRPr="00162815" w:rsidRDefault="001C7884" w:rsidP="000771FF">
            <w:pPr>
              <w:jc w:val="center"/>
              <w:rPr>
                <w:b/>
              </w:rPr>
            </w:pPr>
            <w:r w:rsidRPr="00162815">
              <w:rPr>
                <w:b/>
              </w:rPr>
              <w:t>DETALLE</w:t>
            </w:r>
          </w:p>
        </w:tc>
        <w:tc>
          <w:tcPr>
            <w:tcW w:w="1378" w:type="dxa"/>
            <w:shd w:val="clear" w:color="auto" w:fill="A6A6A6" w:themeFill="background1" w:themeFillShade="A6"/>
            <w:noWrap/>
          </w:tcPr>
          <w:p w:rsidR="001C7884" w:rsidRPr="00162815" w:rsidRDefault="001C7884" w:rsidP="000771FF">
            <w:pPr>
              <w:jc w:val="center"/>
              <w:rPr>
                <w:b/>
              </w:rPr>
            </w:pPr>
            <w:r w:rsidRPr="00162815">
              <w:rPr>
                <w:b/>
              </w:rPr>
              <w:t>SALDO</w:t>
            </w:r>
          </w:p>
          <w:p w:rsidR="001C7884" w:rsidRPr="00162815" w:rsidRDefault="001C7884" w:rsidP="000771FF">
            <w:pPr>
              <w:jc w:val="center"/>
              <w:rPr>
                <w:b/>
              </w:rPr>
            </w:pPr>
            <w:r w:rsidRPr="00162815">
              <w:rPr>
                <w:b/>
              </w:rPr>
              <w:t>VIGENTE</w:t>
            </w:r>
          </w:p>
        </w:tc>
        <w:tc>
          <w:tcPr>
            <w:tcW w:w="1605" w:type="dxa"/>
            <w:shd w:val="clear" w:color="auto" w:fill="A6A6A6" w:themeFill="background1" w:themeFillShade="A6"/>
            <w:noWrap/>
          </w:tcPr>
          <w:p w:rsidR="001C7884" w:rsidRPr="00162815" w:rsidRDefault="001C7884" w:rsidP="000771FF">
            <w:pPr>
              <w:jc w:val="center"/>
              <w:rPr>
                <w:rFonts w:ascii="Arial" w:hAnsi="Arial" w:cs="Arial"/>
                <w:b/>
              </w:rPr>
            </w:pPr>
            <w:r w:rsidRPr="00162815">
              <w:rPr>
                <w:b/>
              </w:rPr>
              <w:t>INCREMEN</w:t>
            </w:r>
            <w:r w:rsidRPr="00162815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572" w:type="dxa"/>
            <w:shd w:val="clear" w:color="auto" w:fill="A6A6A6" w:themeFill="background1" w:themeFillShade="A6"/>
            <w:noWrap/>
          </w:tcPr>
          <w:p w:rsidR="001C7884" w:rsidRPr="001C7884" w:rsidRDefault="001C7884" w:rsidP="000771FF">
            <w:pPr>
              <w:jc w:val="center"/>
              <w:rPr>
                <w:b/>
              </w:rPr>
            </w:pPr>
            <w:r w:rsidRPr="001C7884">
              <w:rPr>
                <w:b/>
              </w:rPr>
              <w:t>SALDO</w:t>
            </w:r>
          </w:p>
          <w:p w:rsidR="001C7884" w:rsidRPr="00162815" w:rsidRDefault="001C7884" w:rsidP="000771FF">
            <w:pPr>
              <w:jc w:val="center"/>
            </w:pPr>
            <w:r w:rsidRPr="001C7884">
              <w:rPr>
                <w:b/>
              </w:rPr>
              <w:t>MODIFICADO</w:t>
            </w:r>
          </w:p>
        </w:tc>
      </w:tr>
      <w:tr w:rsidR="001C7884" w:rsidRPr="001C7884" w:rsidTr="001C7884">
        <w:trPr>
          <w:trHeight w:val="328"/>
        </w:trPr>
        <w:tc>
          <w:tcPr>
            <w:tcW w:w="2268" w:type="dxa"/>
            <w:noWrap/>
          </w:tcPr>
          <w:p w:rsidR="001C7884" w:rsidRPr="000771FF" w:rsidRDefault="001C7884" w:rsidP="001C7884">
            <w:pPr>
              <w:rPr>
                <w:sz w:val="22"/>
                <w:szCs w:val="22"/>
              </w:rPr>
            </w:pPr>
            <w:r w:rsidRPr="000771FF">
              <w:rPr>
                <w:sz w:val="22"/>
                <w:szCs w:val="22"/>
              </w:rPr>
              <w:t>1.1.01.01</w:t>
            </w:r>
          </w:p>
        </w:tc>
        <w:tc>
          <w:tcPr>
            <w:tcW w:w="3490" w:type="dxa"/>
            <w:noWrap/>
          </w:tcPr>
          <w:p w:rsidR="001C7884" w:rsidRPr="001C7884" w:rsidRDefault="001C7884" w:rsidP="001C7884">
            <w:pPr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SUELDOS Y OTROS CONC. NO REMUN.</w:t>
            </w:r>
          </w:p>
        </w:tc>
        <w:tc>
          <w:tcPr>
            <w:tcW w:w="1378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8.253.897</w:t>
            </w:r>
          </w:p>
        </w:tc>
        <w:tc>
          <w:tcPr>
            <w:tcW w:w="1605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1.500.000</w:t>
            </w:r>
          </w:p>
        </w:tc>
        <w:tc>
          <w:tcPr>
            <w:tcW w:w="1572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9.753.897</w:t>
            </w:r>
          </w:p>
        </w:tc>
      </w:tr>
      <w:tr w:rsidR="001C7884" w:rsidRPr="001C7884" w:rsidTr="001C7884">
        <w:trPr>
          <w:trHeight w:val="347"/>
        </w:trPr>
        <w:tc>
          <w:tcPr>
            <w:tcW w:w="2268" w:type="dxa"/>
            <w:noWrap/>
          </w:tcPr>
          <w:p w:rsidR="001C7884" w:rsidRPr="000771FF" w:rsidRDefault="001C7884" w:rsidP="001C7884">
            <w:pPr>
              <w:rPr>
                <w:sz w:val="22"/>
                <w:szCs w:val="22"/>
              </w:rPr>
            </w:pPr>
            <w:r w:rsidRPr="000771FF">
              <w:rPr>
                <w:sz w:val="22"/>
                <w:szCs w:val="22"/>
              </w:rPr>
              <w:t>1.1.02.01</w:t>
            </w:r>
          </w:p>
        </w:tc>
        <w:tc>
          <w:tcPr>
            <w:tcW w:w="3490" w:type="dxa"/>
            <w:noWrap/>
          </w:tcPr>
          <w:p w:rsidR="001C7884" w:rsidRPr="001C7884" w:rsidRDefault="001C7884" w:rsidP="001C7884">
            <w:pPr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COMBUSTIBLES Y LUBRICANTES</w:t>
            </w:r>
          </w:p>
        </w:tc>
        <w:tc>
          <w:tcPr>
            <w:tcW w:w="1378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763.883</w:t>
            </w:r>
          </w:p>
        </w:tc>
        <w:tc>
          <w:tcPr>
            <w:tcW w:w="1605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600.000</w:t>
            </w:r>
          </w:p>
        </w:tc>
        <w:tc>
          <w:tcPr>
            <w:tcW w:w="1572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1.363.883</w:t>
            </w:r>
          </w:p>
        </w:tc>
      </w:tr>
      <w:tr w:rsidR="001C7884" w:rsidRPr="001C7884" w:rsidTr="001C7884">
        <w:trPr>
          <w:trHeight w:val="536"/>
        </w:trPr>
        <w:tc>
          <w:tcPr>
            <w:tcW w:w="2268" w:type="dxa"/>
            <w:noWrap/>
          </w:tcPr>
          <w:p w:rsidR="001C7884" w:rsidRPr="000771FF" w:rsidRDefault="001C7884" w:rsidP="001C7884">
            <w:pPr>
              <w:rPr>
                <w:sz w:val="22"/>
                <w:szCs w:val="22"/>
              </w:rPr>
            </w:pPr>
          </w:p>
          <w:p w:rsidR="001C7884" w:rsidRPr="000771FF" w:rsidRDefault="001C7884" w:rsidP="001C7884">
            <w:pPr>
              <w:rPr>
                <w:sz w:val="22"/>
                <w:szCs w:val="22"/>
              </w:rPr>
            </w:pPr>
            <w:r w:rsidRPr="000771FF">
              <w:rPr>
                <w:sz w:val="22"/>
                <w:szCs w:val="22"/>
              </w:rPr>
              <w:t>1.1.03.01</w:t>
            </w:r>
          </w:p>
          <w:p w:rsidR="001C7884" w:rsidRPr="000771FF" w:rsidRDefault="001C7884" w:rsidP="001C7884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  <w:noWrap/>
          </w:tcPr>
          <w:p w:rsidR="001C7884" w:rsidRPr="001C7884" w:rsidRDefault="001C7884" w:rsidP="001C7884">
            <w:pPr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ELECTRICIDAD Y AGUA POTABLE</w:t>
            </w:r>
          </w:p>
        </w:tc>
        <w:tc>
          <w:tcPr>
            <w:tcW w:w="1378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700.000</w:t>
            </w:r>
          </w:p>
        </w:tc>
        <w:tc>
          <w:tcPr>
            <w:tcW w:w="1605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3.000.000</w:t>
            </w:r>
          </w:p>
        </w:tc>
        <w:tc>
          <w:tcPr>
            <w:tcW w:w="1572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3.700.000</w:t>
            </w:r>
          </w:p>
        </w:tc>
      </w:tr>
      <w:tr w:rsidR="001C7884" w:rsidRPr="001C7884" w:rsidTr="001C7884">
        <w:trPr>
          <w:trHeight w:val="347"/>
        </w:trPr>
        <w:tc>
          <w:tcPr>
            <w:tcW w:w="2268" w:type="dxa"/>
            <w:noWrap/>
          </w:tcPr>
          <w:p w:rsidR="001C7884" w:rsidRPr="000771FF" w:rsidRDefault="001C7884" w:rsidP="001C7884">
            <w:pPr>
              <w:rPr>
                <w:sz w:val="22"/>
                <w:szCs w:val="22"/>
              </w:rPr>
            </w:pPr>
            <w:r w:rsidRPr="000771FF">
              <w:rPr>
                <w:sz w:val="22"/>
                <w:szCs w:val="22"/>
              </w:rPr>
              <w:t>2.1.02.01</w:t>
            </w:r>
          </w:p>
        </w:tc>
        <w:tc>
          <w:tcPr>
            <w:tcW w:w="3490" w:type="dxa"/>
            <w:noWrap/>
          </w:tcPr>
          <w:p w:rsidR="001C7884" w:rsidRPr="001C7884" w:rsidRDefault="001C7884" w:rsidP="001C7884">
            <w:pPr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CON FONDOS MUNICIPALES</w:t>
            </w:r>
          </w:p>
        </w:tc>
        <w:tc>
          <w:tcPr>
            <w:tcW w:w="1378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  <w:lang w:val="en-GB"/>
              </w:rPr>
            </w:pPr>
            <w:r w:rsidRPr="001C7884">
              <w:rPr>
                <w:rFonts w:ascii="Arial" w:hAnsi="Arial" w:cs="Arial"/>
                <w:lang w:val="en-GB"/>
              </w:rPr>
              <w:t>626.842</w:t>
            </w:r>
          </w:p>
        </w:tc>
        <w:tc>
          <w:tcPr>
            <w:tcW w:w="1605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500.000</w:t>
            </w:r>
          </w:p>
        </w:tc>
        <w:tc>
          <w:tcPr>
            <w:tcW w:w="1572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  <w:r w:rsidRPr="001C7884">
              <w:rPr>
                <w:rFonts w:ascii="Arial" w:hAnsi="Arial" w:cs="Arial"/>
              </w:rPr>
              <w:t>1.126.842</w:t>
            </w:r>
          </w:p>
        </w:tc>
      </w:tr>
      <w:tr w:rsidR="001C7884" w:rsidRPr="001C7884" w:rsidTr="001C7884">
        <w:trPr>
          <w:trHeight w:val="347"/>
        </w:trPr>
        <w:tc>
          <w:tcPr>
            <w:tcW w:w="2268" w:type="dxa"/>
            <w:noWrap/>
          </w:tcPr>
          <w:p w:rsidR="001C7884" w:rsidRPr="001C7884" w:rsidRDefault="001C7884" w:rsidP="001C7884">
            <w:pPr>
              <w:rPr>
                <w:b/>
              </w:rPr>
            </w:pPr>
            <w:r w:rsidRPr="001C7884">
              <w:rPr>
                <w:b/>
              </w:rPr>
              <w:t>INCREMENTO TOTAL</w:t>
            </w:r>
          </w:p>
        </w:tc>
        <w:tc>
          <w:tcPr>
            <w:tcW w:w="3490" w:type="dxa"/>
            <w:noWrap/>
          </w:tcPr>
          <w:p w:rsidR="001C7884" w:rsidRPr="001C7884" w:rsidRDefault="001C7884" w:rsidP="001C78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78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  <w:noWrap/>
          </w:tcPr>
          <w:p w:rsidR="001C7884" w:rsidRPr="001C7884" w:rsidRDefault="00B16FC0" w:rsidP="00077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C7884" w:rsidRPr="001C7884">
              <w:rPr>
                <w:rFonts w:ascii="Arial" w:hAnsi="Arial" w:cs="Arial"/>
              </w:rPr>
              <w:t>.600.000</w:t>
            </w:r>
          </w:p>
        </w:tc>
        <w:tc>
          <w:tcPr>
            <w:tcW w:w="1572" w:type="dxa"/>
            <w:noWrap/>
          </w:tcPr>
          <w:p w:rsidR="001C7884" w:rsidRPr="001C7884" w:rsidRDefault="001C7884" w:rsidP="000771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2771" w:rsidRDefault="00622771" w:rsidP="003D1440">
      <w:pPr>
        <w:spacing w:after="120"/>
        <w:jc w:val="both"/>
        <w:rPr>
          <w:sz w:val="22"/>
          <w:szCs w:val="22"/>
        </w:rPr>
      </w:pPr>
    </w:p>
    <w:p w:rsidR="003D1440" w:rsidRPr="008A5125" w:rsidRDefault="003D1440" w:rsidP="003D1440">
      <w:pPr>
        <w:spacing w:after="120"/>
        <w:jc w:val="both"/>
        <w:rPr>
          <w:sz w:val="22"/>
          <w:szCs w:val="22"/>
        </w:rPr>
      </w:pPr>
      <w:r>
        <w:rPr>
          <w:b/>
          <w:sz w:val="24"/>
          <w:u w:val="single"/>
        </w:rPr>
        <w:t>ART. 2º:</w:t>
      </w:r>
      <w:r>
        <w:rPr>
          <w:sz w:val="24"/>
        </w:rPr>
        <w:t xml:space="preserve"> </w:t>
      </w:r>
      <w:r w:rsidR="00710525">
        <w:rPr>
          <w:sz w:val="24"/>
        </w:rPr>
        <w:t xml:space="preserve">El incremento en el crédito de las partidas </w:t>
      </w:r>
      <w:r w:rsidR="00276F47">
        <w:rPr>
          <w:sz w:val="24"/>
        </w:rPr>
        <w:t xml:space="preserve"> detalladas en el art. 1º será compensado por el incremento de las partidas de ingreso según lo detallado en los considerandos del presente. Con la presente rectificación de part</w:t>
      </w:r>
      <w:r w:rsidR="00B16FC0">
        <w:rPr>
          <w:sz w:val="24"/>
        </w:rPr>
        <w:t>ida que lleva el Nº02</w:t>
      </w:r>
      <w:r w:rsidR="000771FF">
        <w:rPr>
          <w:sz w:val="24"/>
        </w:rPr>
        <w:t>/2016, el P</w:t>
      </w:r>
      <w:r w:rsidR="00276F47">
        <w:rPr>
          <w:sz w:val="24"/>
        </w:rPr>
        <w:t>resupuesto para el ejercicio con la cantidad de pesos treinta y un millones doscientos setenta y cuatro mil cuatrocientos doce ($ 31.274.412)</w:t>
      </w:r>
      <w:r w:rsidR="001C7884">
        <w:rPr>
          <w:sz w:val="24"/>
        </w:rPr>
        <w:t>.-</w:t>
      </w:r>
    </w:p>
    <w:p w:rsidR="003D1440" w:rsidRDefault="003D1440" w:rsidP="00276F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4BBD">
        <w:rPr>
          <w:b/>
          <w:sz w:val="24"/>
          <w:u w:val="single"/>
        </w:rPr>
        <w:t>ART. 3º:</w:t>
      </w:r>
      <w:r>
        <w:rPr>
          <w:sz w:val="24"/>
        </w:rPr>
        <w:t xml:space="preserve"> </w:t>
      </w:r>
      <w:r w:rsidR="00276F47" w:rsidRPr="00276F47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="00276F47" w:rsidRPr="00276F47">
        <w:rPr>
          <w:sz w:val="24"/>
          <w:szCs w:val="24"/>
        </w:rPr>
        <w:t>Publíquese, Dese al Registro Municipal y Archívese</w:t>
      </w:r>
      <w:r w:rsidR="00276F47" w:rsidRPr="00276F47">
        <w:rPr>
          <w:color w:val="000000"/>
          <w:sz w:val="24"/>
          <w:szCs w:val="24"/>
        </w:rPr>
        <w:t>.</w:t>
      </w:r>
      <w:r w:rsidR="001C7884">
        <w:rPr>
          <w:color w:val="000000"/>
          <w:sz w:val="24"/>
          <w:szCs w:val="24"/>
        </w:rPr>
        <w:t>-</w:t>
      </w:r>
    </w:p>
    <w:p w:rsidR="00B16FC0" w:rsidRPr="00257098" w:rsidRDefault="00250136" w:rsidP="00B16FC0">
      <w:pPr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San Marcos Sierras, 31</w:t>
      </w:r>
      <w:r w:rsidR="00B16FC0" w:rsidRPr="00257098">
        <w:rPr>
          <w:sz w:val="24"/>
          <w:szCs w:val="24"/>
          <w:shd w:val="clear" w:color="auto" w:fill="FFFFFF"/>
        </w:rPr>
        <w:t xml:space="preserve"> de Agosto de 2016.</w:t>
      </w:r>
    </w:p>
    <w:p w:rsidR="00B16FC0" w:rsidRPr="00265DE9" w:rsidRDefault="00B16FC0" w:rsidP="00B16FC0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16FC0" w:rsidRDefault="00B16FC0" w:rsidP="00B16F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B16FC0" w:rsidRDefault="00B16FC0" w:rsidP="00B16FC0">
      <w:pPr>
        <w:rPr>
          <w:b/>
          <w:sz w:val="16"/>
          <w:szCs w:val="16"/>
        </w:rPr>
      </w:pPr>
    </w:p>
    <w:p w:rsidR="00B16FC0" w:rsidRDefault="00B16FC0" w:rsidP="00B16FC0">
      <w:pPr>
        <w:rPr>
          <w:b/>
          <w:sz w:val="16"/>
          <w:szCs w:val="16"/>
        </w:rPr>
      </w:pPr>
    </w:p>
    <w:p w:rsidR="00B16FC0" w:rsidRPr="00957850" w:rsidRDefault="00B16FC0" w:rsidP="00B16F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Villafañe María Agustina</w:t>
      </w:r>
    </w:p>
    <w:p w:rsidR="00B16FC0" w:rsidRDefault="00B16FC0" w:rsidP="00B16F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Presidente   del  HCD</w:t>
      </w:r>
    </w:p>
    <w:p w:rsidR="00B16FC0" w:rsidRPr="00323E54" w:rsidRDefault="00B16FC0" w:rsidP="00B16FC0"/>
    <w:p w:rsidR="00B16FC0" w:rsidRDefault="00B16FC0" w:rsidP="00B16FC0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16FC0" w:rsidRPr="00265DE9" w:rsidRDefault="00B16FC0" w:rsidP="00B16FC0">
      <w:pPr>
        <w:rPr>
          <w:sz w:val="22"/>
          <w:szCs w:val="22"/>
        </w:rPr>
      </w:pPr>
      <w:r w:rsidRPr="00265DE9">
        <w:rPr>
          <w:sz w:val="22"/>
          <w:szCs w:val="22"/>
        </w:rPr>
        <w:t>Dada en la Sala de Sesiones del Honorable Concejo Deliberante de la Municipalidad de San Marcos Sierras,</w:t>
      </w:r>
      <w:r>
        <w:rPr>
          <w:sz w:val="22"/>
          <w:szCs w:val="22"/>
        </w:rPr>
        <w:t xml:space="preserve"> en Sesión Ordinaria de fecha 31</w:t>
      </w:r>
      <w:r w:rsidRPr="00265DE9">
        <w:rPr>
          <w:sz w:val="22"/>
          <w:szCs w:val="22"/>
        </w:rPr>
        <w:t>/08/16 y Aprobada por Mayoría de Votos.</w:t>
      </w:r>
    </w:p>
    <w:p w:rsidR="00B16FC0" w:rsidRDefault="00B16FC0" w:rsidP="00B16FC0">
      <w:pPr>
        <w:rPr>
          <w:b/>
          <w:sz w:val="16"/>
          <w:szCs w:val="16"/>
        </w:rPr>
      </w:pPr>
    </w:p>
    <w:p w:rsidR="00DC1670" w:rsidRDefault="00DC1670"/>
    <w:sectPr w:rsidR="00DC1670" w:rsidSect="003D1440">
      <w:headerReference w:type="default" r:id="rId6"/>
      <w:pgSz w:w="11907" w:h="16839" w:code="9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49" w:rsidRDefault="00194249" w:rsidP="003D1440">
      <w:r>
        <w:separator/>
      </w:r>
    </w:p>
  </w:endnote>
  <w:endnote w:type="continuationSeparator" w:id="1">
    <w:p w:rsidR="00194249" w:rsidRDefault="00194249" w:rsidP="003D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49" w:rsidRDefault="00194249" w:rsidP="003D1440">
      <w:r>
        <w:separator/>
      </w:r>
    </w:p>
  </w:footnote>
  <w:footnote w:type="continuationSeparator" w:id="1">
    <w:p w:rsidR="00194249" w:rsidRDefault="00194249" w:rsidP="003D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40" w:rsidRPr="003D1440" w:rsidRDefault="003D1440" w:rsidP="003D1440">
    <w:pPr>
      <w:pStyle w:val="Sinespaciado"/>
      <w:jc w:val="center"/>
      <w:rPr>
        <w:rFonts w:ascii="Georgia" w:hAnsi="Georgia"/>
        <w:b/>
        <w:sz w:val="24"/>
        <w:szCs w:val="24"/>
        <w:u w:val="single"/>
      </w:rPr>
    </w:pP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page">
            <wp:posOffset>1571625</wp:posOffset>
          </wp:positionH>
          <wp:positionV relativeFrom="margin">
            <wp:posOffset>-1165860</wp:posOffset>
          </wp:positionV>
          <wp:extent cx="600075" cy="847725"/>
          <wp:effectExtent l="0" t="0" r="9525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67945</wp:posOffset>
          </wp:positionV>
          <wp:extent cx="1019175" cy="647700"/>
          <wp:effectExtent l="19050" t="0" r="9525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D1440">
      <w:rPr>
        <w:rFonts w:ascii="Georgia" w:hAnsi="Georgia"/>
        <w:b/>
        <w:sz w:val="24"/>
        <w:szCs w:val="24"/>
        <w:u w:val="single"/>
      </w:rPr>
      <w:t>HONORABLE CONCEJO DELIBERANTE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Municipalidad de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Libertad 833 – 5282 –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Tel  03549 – 496007</w:t>
    </w:r>
  </w:p>
  <w:p w:rsidR="003D1440" w:rsidRDefault="003D1440">
    <w:pPr>
      <w:pStyle w:val="Encabezado"/>
    </w:pPr>
  </w:p>
  <w:p w:rsidR="003D1440" w:rsidRDefault="003D14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D1440"/>
    <w:rsid w:val="000771FF"/>
    <w:rsid w:val="00162815"/>
    <w:rsid w:val="00177C96"/>
    <w:rsid w:val="00194249"/>
    <w:rsid w:val="001C7884"/>
    <w:rsid w:val="00202CE7"/>
    <w:rsid w:val="00250136"/>
    <w:rsid w:val="00276F47"/>
    <w:rsid w:val="003D1440"/>
    <w:rsid w:val="004F077B"/>
    <w:rsid w:val="00622771"/>
    <w:rsid w:val="00710525"/>
    <w:rsid w:val="00715FB2"/>
    <w:rsid w:val="007A54EE"/>
    <w:rsid w:val="00B16FC0"/>
    <w:rsid w:val="00BC2885"/>
    <w:rsid w:val="00D57A23"/>
    <w:rsid w:val="00D9500E"/>
    <w:rsid w:val="00DC1670"/>
    <w:rsid w:val="00E22AEB"/>
    <w:rsid w:val="00E62BF4"/>
    <w:rsid w:val="00F65B69"/>
    <w:rsid w:val="00F8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440"/>
  </w:style>
  <w:style w:type="paragraph" w:styleId="Piedepgina">
    <w:name w:val="footer"/>
    <w:basedOn w:val="Normal"/>
    <w:link w:val="Piedepgina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440"/>
  </w:style>
  <w:style w:type="paragraph" w:styleId="Sinespaciado">
    <w:name w:val="No Spacing"/>
    <w:uiPriority w:val="1"/>
    <w:qFormat/>
    <w:rsid w:val="003D14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6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2016-08-22T12:50:00Z</cp:lastPrinted>
  <dcterms:created xsi:type="dcterms:W3CDTF">2016-09-01T12:01:00Z</dcterms:created>
  <dcterms:modified xsi:type="dcterms:W3CDTF">2016-09-01T13:02:00Z</dcterms:modified>
</cp:coreProperties>
</file>